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DE" w:rsidRDefault="00967278" w:rsidP="00967278">
      <w:pPr>
        <w:shd w:val="clear" w:color="auto" w:fill="FFFFFF"/>
        <w:spacing w:after="240" w:line="336" w:lineRule="atLeast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  <w:r>
        <w:rPr>
          <w:rFonts w:ascii="Tahoma" w:eastAsia="Times New Roman" w:hAnsi="Tahoma" w:cs="Tahoma"/>
          <w:noProof/>
          <w:color w:val="0000FF"/>
          <w:spacing w:val="-12"/>
          <w:sz w:val="25"/>
          <w:szCs w:val="25"/>
        </w:rPr>
        <w:drawing>
          <wp:inline distT="0" distB="0" distL="0" distR="0" wp14:anchorId="6123A584" wp14:editId="2F91AC0B">
            <wp:extent cx="1905000" cy="1485900"/>
            <wp:effectExtent l="19050" t="0" r="0" b="0"/>
            <wp:docPr id="3" name="Рисунок 3" descr="Документы">
              <a:hlinkClick xmlns:a="http://schemas.openxmlformats.org/drawingml/2006/main" r:id="rId6" tooltip="&quot;Документы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кументы">
                      <a:hlinkClick r:id="rId6" tooltip="&quot;Документ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501" w:rsidRDefault="00AF5501" w:rsidP="00967278">
      <w:pPr>
        <w:shd w:val="clear" w:color="auto" w:fill="FFFFFF"/>
        <w:spacing w:after="240" w:line="336" w:lineRule="atLeast"/>
        <w:jc w:val="center"/>
        <w:rPr>
          <w:rFonts w:ascii="Tahoma" w:eastAsia="Times New Roman" w:hAnsi="Tahoma" w:cs="Tahoma"/>
          <w:color w:val="333333"/>
          <w:sz w:val="19"/>
          <w:szCs w:val="19"/>
        </w:rPr>
      </w:pPr>
    </w:p>
    <w:p w:rsidR="00AF5501" w:rsidRPr="00AF5501" w:rsidRDefault="00AF5501" w:rsidP="00967278">
      <w:pPr>
        <w:shd w:val="clear" w:color="auto" w:fill="FFFFFF"/>
        <w:spacing w:after="240" w:line="336" w:lineRule="atLeast"/>
        <w:jc w:val="center"/>
        <w:rPr>
          <w:rFonts w:ascii="Tahoma" w:eastAsia="Times New Roman" w:hAnsi="Tahoma" w:cs="Tahoma"/>
          <w:b/>
          <w:color w:val="333333"/>
          <w:sz w:val="40"/>
          <w:szCs w:val="40"/>
          <w:u w:val="single"/>
        </w:rPr>
      </w:pPr>
      <w:r w:rsidRPr="00AF5501">
        <w:rPr>
          <w:rFonts w:ascii="Tahoma" w:eastAsia="Times New Roman" w:hAnsi="Tahoma" w:cs="Tahoma"/>
          <w:b/>
          <w:color w:val="333333"/>
          <w:sz w:val="40"/>
          <w:szCs w:val="40"/>
          <w:u w:val="single"/>
        </w:rPr>
        <w:t xml:space="preserve">Информация о состоянии окружающей среды и об использовании природных ресурсов на территории муниципального образования Алексеевский сельсовет </w:t>
      </w:r>
      <w:proofErr w:type="spellStart"/>
      <w:r w:rsidRPr="00AF5501">
        <w:rPr>
          <w:rFonts w:ascii="Tahoma" w:eastAsia="Times New Roman" w:hAnsi="Tahoma" w:cs="Tahoma"/>
          <w:b/>
          <w:color w:val="333333"/>
          <w:sz w:val="40"/>
          <w:szCs w:val="40"/>
          <w:u w:val="single"/>
        </w:rPr>
        <w:t>Асекеевского</w:t>
      </w:r>
      <w:proofErr w:type="spellEnd"/>
      <w:r w:rsidRPr="00AF5501">
        <w:rPr>
          <w:rFonts w:ascii="Tahoma" w:eastAsia="Times New Roman" w:hAnsi="Tahoma" w:cs="Tahoma"/>
          <w:b/>
          <w:color w:val="333333"/>
          <w:sz w:val="40"/>
          <w:szCs w:val="40"/>
          <w:u w:val="single"/>
        </w:rPr>
        <w:t xml:space="preserve"> района Оренбургской области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</w:t>
      </w:r>
      <w:proofErr w:type="gramStart"/>
      <w:r w:rsidRPr="009E1591">
        <w:rPr>
          <w:rFonts w:ascii="Tahoma" w:eastAsia="Times New Roman" w:hAnsi="Tahoma" w:cs="Tahoma"/>
          <w:color w:val="333333"/>
          <w:sz w:val="19"/>
          <w:szCs w:val="19"/>
        </w:rPr>
        <w:t>на</w:t>
      </w:r>
      <w:proofErr w:type="gramEnd"/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 окружающую среду и ликвидацию ее последствий.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В целом экологическая ситуация на территории МО </w:t>
      </w:r>
      <w:r w:rsidR="00C57C1E">
        <w:rPr>
          <w:rFonts w:ascii="Tahoma" w:eastAsia="Times New Roman" w:hAnsi="Tahoma" w:cs="Tahoma"/>
          <w:color w:val="333333"/>
          <w:sz w:val="19"/>
          <w:szCs w:val="19"/>
        </w:rPr>
        <w:t>Алексеевский</w:t>
      </w: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 сельсовет благоприятная. Н</w:t>
      </w:r>
      <w:r w:rsidR="00B338DE">
        <w:rPr>
          <w:rFonts w:ascii="Tahoma" w:eastAsia="Times New Roman" w:hAnsi="Tahoma" w:cs="Tahoma"/>
          <w:color w:val="333333"/>
          <w:sz w:val="19"/>
          <w:szCs w:val="19"/>
        </w:rPr>
        <w:t>а территории муниципального обр</w:t>
      </w:r>
      <w:r w:rsidRPr="009E1591">
        <w:rPr>
          <w:rFonts w:ascii="Tahoma" w:eastAsia="Times New Roman" w:hAnsi="Tahoma" w:cs="Tahoma"/>
          <w:color w:val="333333"/>
          <w:sz w:val="19"/>
          <w:szCs w:val="19"/>
        </w:rPr>
        <w:t>азования отсутствуют высокотоксичные производства, уровень загрязнения воды, почвы и воздуха не превышает предельно допустимых нормативов.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Основными источниками загрязнения окружающей среды в муниципальном образовании являются автотранспорт, твёрдые коммунальные отходы (далее ТКО), отходы от д</w:t>
      </w:r>
      <w:r w:rsidR="00B338DE">
        <w:rPr>
          <w:rFonts w:ascii="Tahoma" w:eastAsia="Times New Roman" w:hAnsi="Tahoma" w:cs="Tahoma"/>
          <w:color w:val="333333"/>
          <w:sz w:val="19"/>
          <w:szCs w:val="19"/>
        </w:rPr>
        <w:t>еятельности сельскохозяйственного предприятия</w:t>
      </w:r>
      <w:r w:rsidRPr="009E1591">
        <w:rPr>
          <w:rFonts w:ascii="Tahoma" w:eastAsia="Times New Roman" w:hAnsi="Tahoma" w:cs="Tahoma"/>
          <w:color w:val="333333"/>
          <w:sz w:val="19"/>
          <w:szCs w:val="19"/>
        </w:rPr>
        <w:t>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Решена проблема сбора и утилизации бытовых отходов. На территории муниципа</w:t>
      </w:r>
      <w:r w:rsidR="00C57C1E">
        <w:rPr>
          <w:rFonts w:ascii="Tahoma" w:eastAsia="Times New Roman" w:hAnsi="Tahoma" w:cs="Tahoma"/>
          <w:color w:val="333333"/>
          <w:sz w:val="19"/>
          <w:szCs w:val="19"/>
        </w:rPr>
        <w:t>льного образования</w:t>
      </w:r>
      <w:r w:rsidR="00B338DE">
        <w:rPr>
          <w:rFonts w:ascii="Tahoma" w:eastAsia="Times New Roman" w:hAnsi="Tahoma" w:cs="Tahoma"/>
          <w:color w:val="333333"/>
          <w:sz w:val="19"/>
          <w:szCs w:val="19"/>
        </w:rPr>
        <w:t xml:space="preserve"> установлено </w:t>
      </w:r>
      <w:r w:rsidR="00C57C1E">
        <w:rPr>
          <w:rFonts w:ascii="Tahoma" w:eastAsia="Times New Roman" w:hAnsi="Tahoma" w:cs="Tahoma"/>
          <w:color w:val="333333"/>
          <w:sz w:val="19"/>
          <w:szCs w:val="19"/>
        </w:rPr>
        <w:t xml:space="preserve">12 </w:t>
      </w:r>
      <w:r w:rsidR="00EA0E71">
        <w:rPr>
          <w:rFonts w:ascii="Tahoma" w:eastAsia="Times New Roman" w:hAnsi="Tahoma" w:cs="Tahoma"/>
          <w:color w:val="333333"/>
          <w:sz w:val="19"/>
          <w:szCs w:val="19"/>
        </w:rPr>
        <w:t>контейнеров</w:t>
      </w: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 для сбора ТКО. Вывоз твердых коммунальных о</w:t>
      </w:r>
      <w:r w:rsidR="00B338DE">
        <w:rPr>
          <w:rFonts w:ascii="Tahoma" w:eastAsia="Times New Roman" w:hAnsi="Tahoma" w:cs="Tahoma"/>
          <w:color w:val="333333"/>
          <w:sz w:val="19"/>
          <w:szCs w:val="19"/>
        </w:rPr>
        <w:t xml:space="preserve">тходов осуществляет </w:t>
      </w: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 оператор</w:t>
      </w:r>
      <w:r w:rsidR="00B338DE">
        <w:rPr>
          <w:rFonts w:ascii="Tahoma" w:eastAsia="Times New Roman" w:hAnsi="Tahoma" w:cs="Tahoma"/>
          <w:color w:val="333333"/>
          <w:sz w:val="19"/>
          <w:szCs w:val="19"/>
        </w:rPr>
        <w:t xml:space="preserve">   ООО « Природа»</w:t>
      </w:r>
      <w:r w:rsidRPr="009E1591">
        <w:rPr>
          <w:rFonts w:ascii="Tahoma" w:eastAsia="Times New Roman" w:hAnsi="Tahoma" w:cs="Tahoma"/>
          <w:color w:val="333333"/>
          <w:sz w:val="19"/>
          <w:szCs w:val="19"/>
        </w:rPr>
        <w:t>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Автодорожная сеть на территории поселения представлена участками межмуниципального значения и сетью автодорог общего пользования местного значения.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автомобильных дорог.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На территории муниципального образования имеются действующие объекты специального назначения – скотомогильники, а также свалки твердых коммунальных отходов.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lastRenderedPageBreak/>
        <w:t xml:space="preserve">На территории муниципального образования имеется 2 скважины, снабжающие население </w:t>
      </w:r>
      <w:r w:rsidR="00C57C1E">
        <w:rPr>
          <w:rFonts w:ascii="Tahoma" w:eastAsia="Times New Roman" w:hAnsi="Tahoma" w:cs="Tahoma"/>
          <w:color w:val="333333"/>
          <w:sz w:val="19"/>
          <w:szCs w:val="19"/>
        </w:rPr>
        <w:t>чистой питьевой водой. Часть населения используе</w:t>
      </w:r>
      <w:r w:rsidRPr="009E1591">
        <w:rPr>
          <w:rFonts w:ascii="Tahoma" w:eastAsia="Times New Roman" w:hAnsi="Tahoma" w:cs="Tahoma"/>
          <w:color w:val="333333"/>
          <w:sz w:val="19"/>
          <w:szCs w:val="19"/>
        </w:rPr>
        <w:t>т собственные скважины. Запасов подземных вод достаточно для обеспечения чистой водой жителей всех населенных пунктов муниципального образования.</w:t>
      </w:r>
      <w:r w:rsidR="00A05725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</w:p>
    <w:p w:rsidR="009E1591" w:rsidRPr="009E1591" w:rsidRDefault="009E1591" w:rsidP="00B338DE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Для решения проблем по благоустройству населенных пунктов</w:t>
      </w:r>
      <w:r w:rsidR="00EA0E71">
        <w:rPr>
          <w:rFonts w:ascii="Tahoma" w:eastAsia="Times New Roman" w:hAnsi="Tahoma" w:cs="Tahoma"/>
          <w:color w:val="333333"/>
          <w:sz w:val="19"/>
          <w:szCs w:val="19"/>
        </w:rPr>
        <w:t xml:space="preserve"> </w:t>
      </w:r>
      <w:r w:rsidRPr="009E1591">
        <w:rPr>
          <w:rFonts w:ascii="Tahoma" w:eastAsia="Times New Roman" w:hAnsi="Tahoma" w:cs="Tahoma"/>
          <w:color w:val="666666"/>
          <w:sz w:val="19"/>
          <w:u w:val="single"/>
        </w:rPr>
        <w:t xml:space="preserve">Решение Совета депутатов муниципального образования </w:t>
      </w:r>
      <w:r w:rsidR="00C57C1E">
        <w:rPr>
          <w:rFonts w:ascii="Tahoma" w:eastAsia="Times New Roman" w:hAnsi="Tahoma" w:cs="Tahoma"/>
          <w:color w:val="666666"/>
          <w:sz w:val="19"/>
          <w:u w:val="single"/>
        </w:rPr>
        <w:t>Алексеевский сельсовет от 14</w:t>
      </w:r>
      <w:r w:rsidR="00770EFF">
        <w:rPr>
          <w:rFonts w:ascii="Tahoma" w:eastAsia="Times New Roman" w:hAnsi="Tahoma" w:cs="Tahoma"/>
          <w:color w:val="666666"/>
          <w:sz w:val="19"/>
          <w:u w:val="single"/>
        </w:rPr>
        <w:t>.08.2019</w:t>
      </w:r>
      <w:r w:rsidRPr="009E1591">
        <w:rPr>
          <w:rFonts w:ascii="Tahoma" w:eastAsia="Times New Roman" w:hAnsi="Tahoma" w:cs="Tahoma"/>
          <w:color w:val="666666"/>
          <w:sz w:val="19"/>
          <w:u w:val="single"/>
        </w:rPr>
        <w:t xml:space="preserve"> № </w:t>
      </w:r>
      <w:r w:rsidR="00C57C1E">
        <w:rPr>
          <w:rFonts w:ascii="Tahoma" w:eastAsia="Times New Roman" w:hAnsi="Tahoma" w:cs="Tahoma"/>
          <w:color w:val="666666"/>
          <w:sz w:val="19"/>
          <w:u w:val="single"/>
        </w:rPr>
        <w:t>107</w:t>
      </w:r>
      <w:r w:rsidR="00EA0E71">
        <w:rPr>
          <w:rFonts w:ascii="Tahoma" w:eastAsia="Times New Roman" w:hAnsi="Tahoma" w:cs="Tahoma"/>
          <w:color w:val="666666"/>
          <w:sz w:val="19"/>
          <w:u w:val="single"/>
        </w:rPr>
        <w:t xml:space="preserve"> </w:t>
      </w: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 утверждены  Правила благоустройства территории муниципального образования </w:t>
      </w:r>
      <w:r w:rsidR="00C57C1E">
        <w:rPr>
          <w:rFonts w:ascii="Tahoma" w:eastAsia="Times New Roman" w:hAnsi="Tahoma" w:cs="Tahoma"/>
          <w:color w:val="333333"/>
          <w:sz w:val="19"/>
          <w:szCs w:val="19"/>
        </w:rPr>
        <w:t>Алексеевский</w:t>
      </w: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 сельсовет </w:t>
      </w:r>
      <w:proofErr w:type="spellStart"/>
      <w:r w:rsidR="00770EFF">
        <w:rPr>
          <w:rFonts w:ascii="Tahoma" w:eastAsia="Times New Roman" w:hAnsi="Tahoma" w:cs="Tahoma"/>
          <w:color w:val="333333"/>
          <w:sz w:val="19"/>
          <w:szCs w:val="19"/>
        </w:rPr>
        <w:t>Асекеевского</w:t>
      </w:r>
      <w:proofErr w:type="spellEnd"/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 района Оренбургской области. Вышеуказанный нормативный правовой акт размещен на сайте администрации </w:t>
      </w:r>
      <w:r w:rsidR="00C57C1E">
        <w:rPr>
          <w:rFonts w:ascii="Tahoma" w:eastAsia="Times New Roman" w:hAnsi="Tahoma" w:cs="Tahoma"/>
          <w:color w:val="333333"/>
          <w:sz w:val="19"/>
          <w:szCs w:val="19"/>
        </w:rPr>
        <w:t>Алексеевского</w:t>
      </w: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 сельсовета в информационно-телекоммуникационной сети Интернет.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Администрацией сельского поселения проводятся месячники по уборке территорий населенных пунктов весной и осенью. Проводится разъяснительная работа с населением по вопросу обращения с ТКО: о запрете сжигания, нелегального размещения мусора, о негативных экологических последствиях.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Особые микроклиматические условия муниципального образования </w:t>
      </w:r>
      <w:r w:rsidR="00C57C1E">
        <w:rPr>
          <w:rFonts w:ascii="Tahoma" w:eastAsia="Times New Roman" w:hAnsi="Tahoma" w:cs="Tahoma"/>
          <w:color w:val="333333"/>
          <w:sz w:val="19"/>
          <w:szCs w:val="19"/>
        </w:rPr>
        <w:t>Алексеевский</w:t>
      </w: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 сельсовет создают благоприятные условия для произрастания здесь большинства деревьев, кустарников. В качестве основных зелёных насаждений в МО выступают лесополосы, которые, к тому же выполняют экологические функции зелёной зоны.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</w:p>
    <w:p w:rsidR="009E1591" w:rsidRPr="00C57C1E" w:rsidRDefault="009E1591" w:rsidP="00B338DE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b/>
          <w:color w:val="666666"/>
          <w:sz w:val="25"/>
          <w:szCs w:val="25"/>
        </w:rPr>
      </w:pPr>
      <w:r w:rsidRPr="009E1591">
        <w:rPr>
          <w:rFonts w:ascii="Tahoma" w:eastAsia="Times New Roman" w:hAnsi="Tahoma" w:cs="Tahoma"/>
          <w:color w:val="666666"/>
          <w:sz w:val="25"/>
          <w:szCs w:val="25"/>
        </w:rPr>
        <w:t>  </w:t>
      </w:r>
      <w:r w:rsidRPr="00C57C1E">
        <w:rPr>
          <w:rFonts w:ascii="Tahoma" w:eastAsia="Times New Roman" w:hAnsi="Tahoma" w:cs="Tahoma"/>
          <w:b/>
          <w:color w:val="666666"/>
          <w:sz w:val="25"/>
          <w:szCs w:val="25"/>
        </w:rPr>
        <w:t>Комплекс мероприятий по охране окружающей среды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 Генеральным планом предусмотрены следующие основные </w:t>
      </w:r>
      <w:proofErr w:type="spellStart"/>
      <w:r w:rsidRPr="009E1591">
        <w:rPr>
          <w:rFonts w:ascii="Tahoma" w:eastAsia="Times New Roman" w:hAnsi="Tahoma" w:cs="Tahoma"/>
          <w:color w:val="333333"/>
          <w:sz w:val="19"/>
          <w:szCs w:val="19"/>
        </w:rPr>
        <w:t>градоэкологические</w:t>
      </w:r>
      <w:proofErr w:type="spellEnd"/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 мероприятия: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1.Перспективное развитие селитебной и рекреационной зон муниципального образования планируется на наиболее благоприятных в экологическом отношении территориях.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2.Улучшение качества атмосферного воздуха в жилой зоне достигается за счет: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-        разработки проектов санитарно-защитных зон промышленных, коммунальных объектов и ферм КРС, озеленения санитарно-защитных зон;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-        создание зеленых защитных полос вдоль автомобильных дорог;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-        озеленение и благоустройство населенных пунктов.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3.Разработка комплекса мероприятий по охране водных ресурсов, включающего следующие аспекты: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-        строительство очистных сооружений;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-        введение полной биологической очистки сточных вод;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-        запрещение строительства по берегам рек, озер агропромышленных комплексов.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lastRenderedPageBreak/>
        <w:t xml:space="preserve">-        озеленение и благоустройства </w:t>
      </w:r>
      <w:proofErr w:type="spellStart"/>
      <w:r w:rsidRPr="009E1591">
        <w:rPr>
          <w:rFonts w:ascii="Tahoma" w:eastAsia="Times New Roman" w:hAnsi="Tahoma" w:cs="Tahoma"/>
          <w:color w:val="333333"/>
          <w:sz w:val="19"/>
          <w:szCs w:val="19"/>
        </w:rPr>
        <w:t>водоохранных</w:t>
      </w:r>
      <w:proofErr w:type="spellEnd"/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 зон.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4.Обеспечение населения питьевой водой, соответствующей санитарно-гигиеническим нормативам за счет: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-        расширения водозаборов;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-        выявления и подготовки к эксплуатации новых и находящихся в резерве месторождений пресных подземных вод.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5. Снижение загрязнения почв предусмотрено за счет: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-        выявление всех несанкционированных свалок и их рекультивация.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-        обеспечение отдельного сбора и сдачи на переработку или захоронение токсичных отходов (1 и 2 классов опасности).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-        заключение договора на сдачу вторичного сырья для дальнейшей переработки.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-        восстановление почвенного плодородия, обеспечение прироста гумуса, проведение мелиоративных работ в поселении;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-        озеленение оврагов в целях укрепление грунтов и предотвращению их дальнейшего развития.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6. Планируется новое «зеленое строительство», которое позволит сформировать «экологический каркас» поселения и </w:t>
      </w:r>
      <w:proofErr w:type="gramStart"/>
      <w:r w:rsidRPr="009E1591">
        <w:rPr>
          <w:rFonts w:ascii="Tahoma" w:eastAsia="Times New Roman" w:hAnsi="Tahoma" w:cs="Tahoma"/>
          <w:color w:val="333333"/>
          <w:sz w:val="19"/>
          <w:szCs w:val="19"/>
        </w:rPr>
        <w:t>обеспечить нормативную потребность в</w:t>
      </w:r>
      <w:proofErr w:type="gramEnd"/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 зеленых насаждениях общего пользования.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7. Организация комплексной системы экологического мониторинга наблюдений за состоянием атмосферы, водных ресурсов, почвенного покрова, зеленых насаждений.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9E1591" w:rsidRPr="009E1591" w:rsidRDefault="009E1591" w:rsidP="00B338DE">
      <w:pPr>
        <w:pBdr>
          <w:left w:val="single" w:sz="48" w:space="12" w:color="CCCCCC"/>
        </w:pBdr>
        <w:shd w:val="clear" w:color="auto" w:fill="EEEEEE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 </w:t>
      </w:r>
      <w:r w:rsidRPr="009E1591">
        <w:rPr>
          <w:rFonts w:ascii="Tahoma" w:eastAsia="Times New Roman" w:hAnsi="Tahoma" w:cs="Tahoma"/>
          <w:b/>
          <w:bCs/>
          <w:color w:val="333333"/>
          <w:sz w:val="19"/>
        </w:rPr>
        <w:t> Развитие инженерной инфраструктуры</w:t>
      </w:r>
    </w:p>
    <w:p w:rsidR="009E1591" w:rsidRPr="009E1591" w:rsidRDefault="009E1591" w:rsidP="00B338DE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color w:val="666666"/>
          <w:sz w:val="25"/>
          <w:szCs w:val="25"/>
        </w:rPr>
      </w:pPr>
      <w:r w:rsidRPr="009E1591">
        <w:rPr>
          <w:rFonts w:ascii="Tahoma" w:eastAsia="Times New Roman" w:hAnsi="Tahoma" w:cs="Tahoma"/>
          <w:color w:val="666666"/>
          <w:sz w:val="25"/>
          <w:szCs w:val="25"/>
        </w:rPr>
        <w:t>Водоснабжение и водоотведение</w:t>
      </w:r>
    </w:p>
    <w:p w:rsidR="009E1591" w:rsidRPr="009E1591" w:rsidRDefault="009E1591" w:rsidP="00B338DE">
      <w:pPr>
        <w:shd w:val="clear" w:color="auto" w:fill="FFFFFF"/>
        <w:spacing w:after="0" w:line="240" w:lineRule="auto"/>
        <w:jc w:val="both"/>
        <w:outlineLvl w:val="2"/>
        <w:rPr>
          <w:rFonts w:ascii="Tahoma" w:eastAsia="Times New Roman" w:hAnsi="Tahoma" w:cs="Tahoma"/>
          <w:color w:val="666666"/>
          <w:sz w:val="25"/>
          <w:szCs w:val="25"/>
        </w:rPr>
      </w:pPr>
      <w:r w:rsidRPr="009E1591">
        <w:rPr>
          <w:rFonts w:ascii="Tahoma" w:eastAsia="Times New Roman" w:hAnsi="Tahoma" w:cs="Tahoma"/>
          <w:b/>
          <w:bCs/>
          <w:color w:val="666666"/>
          <w:sz w:val="25"/>
          <w:szCs w:val="25"/>
        </w:rPr>
        <w:t>Водоснабжение</w:t>
      </w:r>
    </w:p>
    <w:p w:rsidR="009E1591" w:rsidRPr="009E1591" w:rsidRDefault="009E1591" w:rsidP="00B338DE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  <w:u w:val="single"/>
        </w:rPr>
        <w:t>Система и схема водоснабжения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В разделе «Водоснабжение и водоотведение» в составе Генерального плана разработаны мероприятия по развитию систем инженерного оборудования поселения, направленные на комплексное инженерное обеспечение жилых районов, модернизацию и реконструкцию устаревших инженерных коммуникаций и головных источников, внедрение политики ресурсосбережения.</w:t>
      </w:r>
    </w:p>
    <w:p w:rsidR="009E1591" w:rsidRPr="009E1591" w:rsidRDefault="009E1591" w:rsidP="00B338DE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  <w:u w:val="single"/>
        </w:rPr>
        <w:t>Проектные решения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Потребление воды в жилом секторе всегда было высоким, существующая система водоснабжения, в силу объективных причин, не стимулирует потребителей питьевой воды к более рациональному ее использованию. Сегодня жители оплачивают фиксированный объем воды, независимо </w:t>
      </w:r>
      <w:proofErr w:type="gramStart"/>
      <w:r w:rsidRPr="009E1591">
        <w:rPr>
          <w:rFonts w:ascii="Tahoma" w:eastAsia="Times New Roman" w:hAnsi="Tahoma" w:cs="Tahoma"/>
          <w:color w:val="333333"/>
          <w:sz w:val="19"/>
          <w:szCs w:val="19"/>
        </w:rPr>
        <w:t>от</w:t>
      </w:r>
      <w:proofErr w:type="gramEnd"/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 фактически потребляемого.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lastRenderedPageBreak/>
        <w:t>При выполнении комплекса мероприятий, а именно: реконструкция водопроводных сетей, замена арматуры и санитарно-технического оборудования, установка водомеров и др., возможно снижение удельной нормы водопотребления на человека порядка 20-30%.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Учитывая, что в жилом секторе потребляется наибольшее количество воды, мероприятия по рациональному и экономному водопотреблению должны быть ориентированы в первую очередь на этот сектор, для чего необходимо определить и внедрить систему экономического стимулирования.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В настоящем проекте рассматривается развитие систем водоснабжения и водоотведения в зависимости от норм расхода воды, </w:t>
      </w:r>
      <w:proofErr w:type="gramStart"/>
      <w:r w:rsidRPr="009E1591">
        <w:rPr>
          <w:rFonts w:ascii="Tahoma" w:eastAsia="Times New Roman" w:hAnsi="Tahoma" w:cs="Tahoma"/>
          <w:color w:val="333333"/>
          <w:sz w:val="19"/>
          <w:szCs w:val="19"/>
        </w:rPr>
        <w:t>принимаемым</w:t>
      </w:r>
      <w:proofErr w:type="gramEnd"/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 в соответствии с нормами СНиП 2.04.02-84. В нормы водопотребления включены все расходы воды на хозяйственно-питьевые нужды в жилых и общественных зданиях.</w:t>
      </w:r>
    </w:p>
    <w:p w:rsidR="009E1591" w:rsidRPr="009E1591" w:rsidRDefault="009E1591" w:rsidP="00B338DE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Коэффициент суточной неравномерности водопотребления </w:t>
      </w:r>
      <w:proofErr w:type="spellStart"/>
      <w:r w:rsidRPr="009E1591">
        <w:rPr>
          <w:rFonts w:ascii="Tahoma" w:eastAsia="Times New Roman" w:hAnsi="Tahoma" w:cs="Tahoma"/>
          <w:color w:val="333333"/>
          <w:sz w:val="19"/>
          <w:szCs w:val="19"/>
        </w:rPr>
        <w:t>К</w:t>
      </w:r>
      <w:r w:rsidRPr="009E1591">
        <w:rPr>
          <w:rFonts w:ascii="Tahoma" w:eastAsia="Times New Roman" w:hAnsi="Tahoma" w:cs="Tahoma"/>
          <w:color w:val="333333"/>
          <w:sz w:val="19"/>
          <w:szCs w:val="19"/>
          <w:vertAlign w:val="subscript"/>
        </w:rPr>
        <w:t>сут</w:t>
      </w:r>
      <w:proofErr w:type="spellEnd"/>
      <w:r w:rsidRPr="009E1591">
        <w:rPr>
          <w:rFonts w:ascii="Tahoma" w:eastAsia="Times New Roman" w:hAnsi="Tahoma" w:cs="Tahoma"/>
          <w:color w:val="333333"/>
          <w:sz w:val="19"/>
          <w:szCs w:val="19"/>
        </w:rPr>
        <w:t>, учитывающий уклад жизни населения, режим работы предприятий, степень благоустройства зданий, изменения водопотребления по сезонам года и дням недели, принимается равным: К</w:t>
      </w:r>
      <w:r w:rsidRPr="009E1591">
        <w:rPr>
          <w:rFonts w:ascii="Tahoma" w:eastAsia="Times New Roman" w:hAnsi="Tahoma" w:cs="Tahoma"/>
          <w:color w:val="333333"/>
          <w:sz w:val="19"/>
          <w:szCs w:val="19"/>
          <w:vertAlign w:val="subscript"/>
        </w:rPr>
        <w:t>сут.min</w:t>
      </w:r>
      <w:r w:rsidRPr="009E1591">
        <w:rPr>
          <w:rFonts w:ascii="Tahoma" w:eastAsia="Times New Roman" w:hAnsi="Tahoma" w:cs="Tahoma"/>
          <w:color w:val="333333"/>
          <w:sz w:val="19"/>
          <w:szCs w:val="19"/>
        </w:rPr>
        <w:t>=0,8; К</w:t>
      </w:r>
      <w:r w:rsidRPr="009E1591">
        <w:rPr>
          <w:rFonts w:ascii="Tahoma" w:eastAsia="Times New Roman" w:hAnsi="Tahoma" w:cs="Tahoma"/>
          <w:color w:val="333333"/>
          <w:sz w:val="19"/>
          <w:szCs w:val="19"/>
          <w:vertAlign w:val="subscript"/>
        </w:rPr>
        <w:t>сут.max</w:t>
      </w:r>
      <w:r w:rsidRPr="009E1591">
        <w:rPr>
          <w:rFonts w:ascii="Tahoma" w:eastAsia="Times New Roman" w:hAnsi="Tahoma" w:cs="Tahoma"/>
          <w:color w:val="333333"/>
          <w:sz w:val="19"/>
          <w:szCs w:val="19"/>
        </w:rPr>
        <w:t>=1,2.</w:t>
      </w:r>
    </w:p>
    <w:p w:rsidR="009E1591" w:rsidRPr="009E1591" w:rsidRDefault="009E1591" w:rsidP="00B338DE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Расходы воды для нужд наружного пожаротушения МО </w:t>
      </w:r>
      <w:r w:rsidR="00C57C1E">
        <w:rPr>
          <w:rFonts w:ascii="Tahoma" w:eastAsia="Times New Roman" w:hAnsi="Tahoma" w:cs="Tahoma"/>
          <w:color w:val="333333"/>
          <w:sz w:val="19"/>
          <w:szCs w:val="19"/>
        </w:rPr>
        <w:t>Алексеевский</w:t>
      </w: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 сельсовет принимаются в соответствии со СНиП 2.04.02-84. На расчетный срок принято: 1 пожар по 10 л/с. Расход воды на внутреннее пожаротушение 10 л/с. Трехчасовой пожарный запас составляет: (10+10) * 3,6 * 3 = 216 м</w:t>
      </w:r>
      <w:r w:rsidRPr="009E1591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3</w:t>
      </w:r>
      <w:r w:rsidRPr="009E1591">
        <w:rPr>
          <w:rFonts w:ascii="Tahoma" w:eastAsia="Times New Roman" w:hAnsi="Tahoma" w:cs="Tahoma"/>
          <w:color w:val="333333"/>
          <w:sz w:val="19"/>
          <w:szCs w:val="19"/>
        </w:rPr>
        <w:t>.</w:t>
      </w:r>
    </w:p>
    <w:p w:rsidR="009E1591" w:rsidRPr="009E1591" w:rsidRDefault="009E1591" w:rsidP="00B338DE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color w:val="666666"/>
          <w:sz w:val="25"/>
          <w:szCs w:val="25"/>
        </w:rPr>
      </w:pPr>
      <w:r w:rsidRPr="009E1591">
        <w:rPr>
          <w:rFonts w:ascii="Tahoma" w:eastAsia="Times New Roman" w:hAnsi="Tahoma" w:cs="Tahoma"/>
          <w:color w:val="666666"/>
          <w:sz w:val="25"/>
          <w:szCs w:val="25"/>
        </w:rPr>
        <w:t>3.9.1.2 Зоны санитарной охраны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Для обеспечения санитарно-эпидемиологической надежности водопровода хозяйственно-питьевого назначения, предусматриваются зоны санитарной охраны источников питьевого водоснабжения, которые включают три пояса (СанПиН 2.1.4.1110-02):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I – пояс строгого режима включает территорию расположения водозаборов, в пределах которых запрещаются все виды строительства, не имеющие непосредственного отношения к водозабору.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II, III – пояса (режимов ограничений) включают территорию, предназначенную для предупреждения загрязнения воды источников водоснабжения. В пределах 2, 3 поясов ЗСО градостроительная деятельность допускается при условии обязательного </w:t>
      </w:r>
      <w:proofErr w:type="spellStart"/>
      <w:r w:rsidRPr="009E1591">
        <w:rPr>
          <w:rFonts w:ascii="Tahoma" w:eastAsia="Times New Roman" w:hAnsi="Tahoma" w:cs="Tahoma"/>
          <w:color w:val="333333"/>
          <w:sz w:val="19"/>
          <w:szCs w:val="19"/>
        </w:rPr>
        <w:t>канализования</w:t>
      </w:r>
      <w:proofErr w:type="spellEnd"/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 зданий и сооружений, благоустройства территории, организации поверхностного стока.</w:t>
      </w:r>
    </w:p>
    <w:p w:rsidR="009E1591" w:rsidRPr="009E1591" w:rsidRDefault="009E1591" w:rsidP="00B338DE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Система и схема водоснабжения</w:t>
      </w:r>
    </w:p>
    <w:p w:rsidR="009E1591" w:rsidRPr="009E1591" w:rsidRDefault="009E1591" w:rsidP="00B338DE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Общий расход питьевой воды на расчетный срок составит 77 м</w:t>
      </w:r>
      <w:r w:rsidRPr="009E1591">
        <w:rPr>
          <w:rFonts w:ascii="Tahoma" w:eastAsia="Times New Roman" w:hAnsi="Tahoma" w:cs="Tahoma"/>
          <w:color w:val="333333"/>
          <w:sz w:val="19"/>
          <w:szCs w:val="19"/>
          <w:vertAlign w:val="superscript"/>
        </w:rPr>
        <w:t>3</w:t>
      </w:r>
      <w:r w:rsidRPr="009E1591">
        <w:rPr>
          <w:rFonts w:ascii="Tahoma" w:eastAsia="Times New Roman" w:hAnsi="Tahoma" w:cs="Tahoma"/>
          <w:color w:val="333333"/>
          <w:sz w:val="19"/>
          <w:szCs w:val="19"/>
        </w:rPr>
        <w:t>/</w:t>
      </w:r>
      <w:proofErr w:type="spellStart"/>
      <w:proofErr w:type="gramStart"/>
      <w:r w:rsidRPr="009E1591">
        <w:rPr>
          <w:rFonts w:ascii="Tahoma" w:eastAsia="Times New Roman" w:hAnsi="Tahoma" w:cs="Tahoma"/>
          <w:color w:val="333333"/>
          <w:sz w:val="19"/>
          <w:szCs w:val="19"/>
        </w:rPr>
        <w:t>сут</w:t>
      </w:r>
      <w:proofErr w:type="spellEnd"/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 и</w:t>
      </w:r>
      <w:proofErr w:type="gramEnd"/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 будет обеспечиваться от существующих скважин.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Схема водоснабжения существующая корректируется, с развитием, реконструкцией и строительством сетей и сооружений водопровода.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Водоснабжение площадок нового строительства осуществляется прокладкой водопроводных сетей, с подключением к существующим сетям водопровода.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В системе водоснабжения МО </w:t>
      </w:r>
      <w:r w:rsidR="00C57C1E">
        <w:rPr>
          <w:rFonts w:ascii="Tahoma" w:eastAsia="Times New Roman" w:hAnsi="Tahoma" w:cs="Tahoma"/>
          <w:color w:val="333333"/>
          <w:sz w:val="19"/>
          <w:szCs w:val="19"/>
        </w:rPr>
        <w:t>Алексеевский</w:t>
      </w: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 сельсовет должен быть выполнен комплекс мероприятий по реконструкции водопроводных сетей, замене арматуры и санитарно-технического оборудования, установка водомеров, внедрены мероприятия по рациональному и экономному водопотреблению.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Проведение такого комплекса мероприятий может дать снижение водопотребления на 20-30%.</w:t>
      </w:r>
    </w:p>
    <w:p w:rsidR="009E1591" w:rsidRDefault="009E1591" w:rsidP="00B338DE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666666"/>
          <w:sz w:val="25"/>
          <w:szCs w:val="25"/>
        </w:rPr>
      </w:pPr>
      <w:r w:rsidRPr="009E1591">
        <w:rPr>
          <w:rFonts w:ascii="Tahoma" w:eastAsia="Times New Roman" w:hAnsi="Tahoma" w:cs="Tahoma"/>
          <w:b/>
          <w:bCs/>
          <w:color w:val="666666"/>
          <w:sz w:val="25"/>
          <w:szCs w:val="25"/>
        </w:rPr>
        <w:lastRenderedPageBreak/>
        <w:t>  Водоотведение</w:t>
      </w:r>
    </w:p>
    <w:p w:rsidR="008A7A4D" w:rsidRPr="008A7A4D" w:rsidRDefault="008A7A4D" w:rsidP="008A7A4D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8A7A4D">
        <w:rPr>
          <w:rFonts w:ascii="Tahoma" w:eastAsia="Times New Roman" w:hAnsi="Tahoma" w:cs="Tahoma"/>
          <w:b/>
          <w:bCs/>
          <w:sz w:val="20"/>
          <w:szCs w:val="20"/>
        </w:rPr>
        <w:t>Существующее положение в сфере водоотведения МО Алексеевский</w:t>
      </w:r>
      <w:r w:rsidRPr="008A7A4D">
        <w:rPr>
          <w:rFonts w:ascii="Tahoma" w:eastAsia="Calibri" w:hAnsi="Tahoma" w:cs="Tahoma"/>
          <w:b/>
          <w:sz w:val="20"/>
          <w:szCs w:val="20"/>
        </w:rPr>
        <w:t xml:space="preserve"> </w:t>
      </w:r>
      <w:r w:rsidRPr="008A7A4D">
        <w:rPr>
          <w:rFonts w:ascii="Tahoma" w:eastAsia="Times New Roman" w:hAnsi="Tahoma" w:cs="Tahoma"/>
          <w:b/>
          <w:bCs/>
          <w:sz w:val="20"/>
          <w:szCs w:val="20"/>
        </w:rPr>
        <w:t>сельсовет</w:t>
      </w:r>
    </w:p>
    <w:p w:rsidR="008A7A4D" w:rsidRPr="008A7A4D" w:rsidRDefault="008A7A4D" w:rsidP="008A7A4D">
      <w:pPr>
        <w:spacing w:after="0" w:line="240" w:lineRule="auto"/>
        <w:ind w:firstLine="709"/>
        <w:jc w:val="both"/>
        <w:rPr>
          <w:rFonts w:ascii="Tahoma" w:eastAsia="Calibri" w:hAnsi="Tahoma" w:cs="Tahoma"/>
          <w:b/>
          <w:sz w:val="20"/>
          <w:szCs w:val="20"/>
        </w:rPr>
      </w:pPr>
      <w:bookmarkStart w:id="0" w:name="_GoBack"/>
      <w:bookmarkEnd w:id="0"/>
    </w:p>
    <w:p w:rsidR="008A7A4D" w:rsidRPr="008A7A4D" w:rsidRDefault="008A7A4D" w:rsidP="008A7A4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ahoma" w:eastAsia="Calibri" w:hAnsi="Tahoma" w:cs="Tahoma"/>
          <w:sz w:val="20"/>
          <w:szCs w:val="20"/>
        </w:rPr>
      </w:pPr>
      <w:r w:rsidRPr="008A7A4D">
        <w:rPr>
          <w:rFonts w:ascii="Tahoma" w:eastAsia="Calibri" w:hAnsi="Tahoma" w:cs="Tahoma"/>
          <w:sz w:val="20"/>
          <w:szCs w:val="20"/>
        </w:rPr>
        <w:t xml:space="preserve">В МО </w:t>
      </w:r>
      <w:r w:rsidRPr="008A7A4D">
        <w:rPr>
          <w:rFonts w:ascii="Tahoma" w:eastAsia="Times New Roman" w:hAnsi="Tahoma" w:cs="Tahoma"/>
          <w:bCs/>
          <w:sz w:val="20"/>
          <w:szCs w:val="20"/>
        </w:rPr>
        <w:t>Алексеевский</w:t>
      </w:r>
      <w:r w:rsidRPr="008A7A4D">
        <w:rPr>
          <w:rFonts w:ascii="Tahoma" w:eastAsia="Calibri" w:hAnsi="Tahoma" w:cs="Tahoma"/>
          <w:sz w:val="20"/>
          <w:szCs w:val="20"/>
        </w:rPr>
        <w:t xml:space="preserve"> сельсовет полностью отсутствует централизованная система водоотведения. Индивидуальные жилые дома оборудованы уборными с накопительными емкостями для приема сточных вод или надворными уборными с последующей утилизацией хозяйственно-фекальных стоков в компостные ямы. Очистка накопительных емкостей и приемных емкостей надворных уборных осуществляется ассенизационной машиной. Категорически запрещено строительство поглощающих ям.</w:t>
      </w:r>
    </w:p>
    <w:p w:rsidR="008A7A4D" w:rsidRPr="008A7A4D" w:rsidRDefault="008A7A4D" w:rsidP="008A7A4D">
      <w:pPr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</w:p>
    <w:p w:rsidR="008A7A4D" w:rsidRPr="008A7A4D" w:rsidRDefault="008A7A4D" w:rsidP="008A7A4D">
      <w:pPr>
        <w:spacing w:after="0" w:line="240" w:lineRule="auto"/>
        <w:ind w:firstLine="709"/>
        <w:jc w:val="both"/>
        <w:rPr>
          <w:rFonts w:ascii="Tahoma" w:eastAsia="Calibri" w:hAnsi="Tahoma" w:cs="Tahoma"/>
          <w:sz w:val="20"/>
          <w:szCs w:val="20"/>
        </w:rPr>
      </w:pPr>
      <w:r w:rsidRPr="008A7A4D">
        <w:rPr>
          <w:rFonts w:ascii="Tahoma" w:eastAsia="Calibri" w:hAnsi="Tahoma" w:cs="Tahoma"/>
          <w:sz w:val="20"/>
          <w:szCs w:val="20"/>
        </w:rPr>
        <w:t xml:space="preserve">В настоящее время МО </w:t>
      </w:r>
      <w:r w:rsidRPr="008A7A4D">
        <w:rPr>
          <w:rFonts w:ascii="Tahoma" w:eastAsia="Times New Roman" w:hAnsi="Tahoma" w:cs="Tahoma"/>
          <w:bCs/>
          <w:sz w:val="20"/>
          <w:szCs w:val="20"/>
        </w:rPr>
        <w:t>Алексеевский</w:t>
      </w:r>
      <w:r w:rsidRPr="008A7A4D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8A7A4D">
        <w:rPr>
          <w:rFonts w:ascii="Tahoma" w:eastAsia="Calibri" w:hAnsi="Tahoma" w:cs="Tahoma"/>
          <w:sz w:val="20"/>
          <w:szCs w:val="20"/>
        </w:rPr>
        <w:t>сельсовет имеет довольно низкую степень благоустройства в области водоотведения. Требуется организовать место слива канализационных отходов из выгребных ям.</w:t>
      </w:r>
    </w:p>
    <w:p w:rsidR="008A7A4D" w:rsidRPr="008A7A4D" w:rsidRDefault="008A7A4D" w:rsidP="00B338DE">
      <w:pPr>
        <w:shd w:val="clear" w:color="auto" w:fill="FFFFFF"/>
        <w:spacing w:after="0" w:line="240" w:lineRule="auto"/>
        <w:jc w:val="both"/>
        <w:outlineLvl w:val="3"/>
        <w:rPr>
          <w:rFonts w:ascii="Tahoma" w:eastAsia="Times New Roman" w:hAnsi="Tahoma" w:cs="Tahoma"/>
          <w:color w:val="666666"/>
          <w:sz w:val="20"/>
          <w:szCs w:val="20"/>
        </w:rPr>
      </w:pPr>
    </w:p>
    <w:p w:rsidR="009E1591" w:rsidRPr="009E1591" w:rsidRDefault="009E1591" w:rsidP="00B338DE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  <w:u w:val="single"/>
        </w:rPr>
        <w:t>Проектные решения</w:t>
      </w:r>
    </w:p>
    <w:p w:rsidR="008A7A4D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Расчетные расходы сточных вод, как и расходы воды, определены исходя из степени благоустройства жилой застройки и сохраняемого жилого фонда. При этом удельные нормы водоотведения принимаются </w:t>
      </w:r>
      <w:proofErr w:type="gramStart"/>
      <w:r w:rsidRPr="009E1591">
        <w:rPr>
          <w:rFonts w:ascii="Tahoma" w:eastAsia="Times New Roman" w:hAnsi="Tahoma" w:cs="Tahoma"/>
          <w:color w:val="333333"/>
          <w:sz w:val="19"/>
          <w:szCs w:val="19"/>
        </w:rPr>
        <w:t>равными</w:t>
      </w:r>
      <w:proofErr w:type="gramEnd"/>
      <w:r w:rsidRPr="009E1591">
        <w:rPr>
          <w:rFonts w:ascii="Tahoma" w:eastAsia="Times New Roman" w:hAnsi="Tahoma" w:cs="Tahoma"/>
          <w:color w:val="333333"/>
          <w:sz w:val="19"/>
          <w:szCs w:val="19"/>
        </w:rPr>
        <w:t xml:space="preserve"> нормам водопотребления. </w:t>
      </w:r>
      <w:proofErr w:type="gramStart"/>
      <w:r w:rsidRPr="009E1591">
        <w:rPr>
          <w:rFonts w:ascii="Tahoma" w:eastAsia="Times New Roman" w:hAnsi="Tahoma" w:cs="Tahoma"/>
          <w:color w:val="333333"/>
          <w:sz w:val="19"/>
          <w:szCs w:val="19"/>
        </w:rPr>
        <w:t>На основании СНиП 2.04.03-85, удельные нормы водоотведения от жилой и общественной застройки соответствуют принятым нормам водопотребления, приведенным в разделе «Водоснабжение» с учетом понижающего коэффициента в населенных пунктах (поселки и села) –0,6;Неучтенные расходы стоков и прочие расходы приняты в размере 5% от расхода воды на нужды населения.</w:t>
      </w:r>
      <w:proofErr w:type="gramEnd"/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Проектные расходы хозяйственно-бытовых стоков на расчетный срок строительства представлены в нижеследующей таблице. Расходы стоков от промышленных предприятий приняты по данным о существующем водоотведении с ростом на 10% на расчетный срок.</w:t>
      </w:r>
    </w:p>
    <w:p w:rsidR="009E1591" w:rsidRPr="009E1591" w:rsidRDefault="009E1591" w:rsidP="00B338DE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  <w:u w:val="single"/>
        </w:rPr>
        <w:t>Система и схема канализации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Система канализации принята полная раздельная, при которой хозяйственно-бытовая сеть не прокладывается для отведения стоков от жилой и общественной застройки, а устраивается канализационная яма в каждом дворе.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9E1591" w:rsidRPr="009E1591" w:rsidRDefault="009E1591" w:rsidP="00B338DE">
      <w:pPr>
        <w:shd w:val="clear" w:color="auto" w:fill="FFFFFF"/>
        <w:spacing w:after="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b/>
          <w:bCs/>
          <w:color w:val="333333"/>
          <w:sz w:val="19"/>
          <w:szCs w:val="19"/>
        </w:rPr>
        <w:t> </w:t>
      </w:r>
    </w:p>
    <w:p w:rsidR="009E1591" w:rsidRPr="009E1591" w:rsidRDefault="009E1591" w:rsidP="00B338DE">
      <w:pPr>
        <w:shd w:val="clear" w:color="auto" w:fill="FFFFFF"/>
        <w:spacing w:after="240" w:line="336" w:lineRule="atLeast"/>
        <w:jc w:val="both"/>
        <w:rPr>
          <w:rFonts w:ascii="Tahoma" w:eastAsia="Times New Roman" w:hAnsi="Tahoma" w:cs="Tahoma"/>
          <w:color w:val="333333"/>
          <w:sz w:val="19"/>
          <w:szCs w:val="19"/>
        </w:rPr>
      </w:pPr>
      <w:r w:rsidRPr="009E1591">
        <w:rPr>
          <w:rFonts w:ascii="Tahoma" w:eastAsia="Times New Roman" w:hAnsi="Tahoma" w:cs="Tahoma"/>
          <w:color w:val="333333"/>
          <w:sz w:val="19"/>
          <w:szCs w:val="19"/>
        </w:rPr>
        <w:t> </w:t>
      </w:r>
    </w:p>
    <w:p w:rsidR="009E1591" w:rsidRPr="009E1591" w:rsidRDefault="00ED7616" w:rsidP="00B338DE">
      <w:pPr>
        <w:pBdr>
          <w:top w:val="single" w:sz="6" w:space="5" w:color="CCCCCC"/>
          <w:left w:val="single" w:sz="6" w:space="5" w:color="CCCCCC"/>
          <w:bottom w:val="single" w:sz="6" w:space="5" w:color="CCCCCC"/>
          <w:right w:val="single" w:sz="6" w:space="5" w:color="CCCCCC"/>
        </w:pBdr>
        <w:shd w:val="clear" w:color="auto" w:fill="FFFFFF"/>
        <w:spacing w:line="240" w:lineRule="auto"/>
        <w:jc w:val="both"/>
        <w:outlineLvl w:val="1"/>
        <w:rPr>
          <w:rFonts w:ascii="Tahoma" w:eastAsia="Times New Roman" w:hAnsi="Tahoma" w:cs="Tahoma"/>
          <w:color w:val="666666"/>
          <w:spacing w:val="-12"/>
          <w:sz w:val="25"/>
          <w:szCs w:val="25"/>
        </w:rPr>
      </w:pPr>
      <w:hyperlink r:id="rId8" w:tooltip="Документы" w:history="1">
        <w:r w:rsidR="009E1591">
          <w:rPr>
            <w:rFonts w:ascii="Tahoma" w:eastAsia="Times New Roman" w:hAnsi="Tahoma" w:cs="Tahoma"/>
            <w:noProof/>
            <w:color w:val="0000FF"/>
            <w:spacing w:val="-12"/>
            <w:sz w:val="25"/>
            <w:szCs w:val="25"/>
          </w:rPr>
          <w:drawing>
            <wp:inline distT="0" distB="0" distL="0" distR="0">
              <wp:extent cx="1905000" cy="1485900"/>
              <wp:effectExtent l="19050" t="0" r="0" b="0"/>
              <wp:docPr id="1" name="Рисунок 1" descr="Документы">
                <a:hlinkClick xmlns:a="http://schemas.openxmlformats.org/drawingml/2006/main" r:id="rId8" tooltip="&quot;Документы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Документы">
                        <a:hlinkClick r:id="rId8" tooltip="&quot;Документы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05000" cy="1485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E1591" w:rsidRPr="009E1591">
          <w:rPr>
            <w:rFonts w:ascii="Tahoma" w:eastAsia="Times New Roman" w:hAnsi="Tahoma" w:cs="Tahoma"/>
            <w:color w:val="FFFFFF"/>
            <w:spacing w:val="-12"/>
            <w:u w:val="single"/>
          </w:rPr>
          <w:t>Документы</w:t>
        </w:r>
      </w:hyperlink>
    </w:p>
    <w:p w:rsidR="009E1591" w:rsidRPr="009E1591" w:rsidRDefault="009E1591" w:rsidP="00B338DE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9E1591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9E1591" w:rsidRPr="009E1591" w:rsidRDefault="00CD7B4E" w:rsidP="00B338DE">
      <w:pPr>
        <w:shd w:val="clear" w:color="auto" w:fill="FFFFFF"/>
        <w:spacing w:after="0" w:line="240" w:lineRule="auto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r w:rsidRPr="009E1591">
        <w:rPr>
          <w:rFonts w:ascii="Tahoma" w:eastAsia="Times New Roman" w:hAnsi="Tahoma" w:cs="Tahoma"/>
          <w:color w:val="676767"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8.25pt;height:18.25pt" o:ole="">
            <v:imagedata r:id="rId9" o:title=""/>
          </v:shape>
          <w:control r:id="rId10" w:name="DefaultOcxName" w:shapeid="_x0000_i1031"/>
        </w:object>
      </w:r>
      <w:r w:rsidRPr="009E1591">
        <w:rPr>
          <w:rFonts w:ascii="Tahoma" w:eastAsia="Times New Roman" w:hAnsi="Tahoma" w:cs="Tahoma"/>
          <w:color w:val="676767"/>
          <w:sz w:val="19"/>
          <w:szCs w:val="19"/>
        </w:rPr>
        <w:object w:dxaOrig="225" w:dyaOrig="225">
          <v:shape id="_x0000_i1033" type="#_x0000_t75" style="width:35.45pt;height:22.55pt" o:ole="">
            <v:imagedata r:id="rId11" o:title=""/>
          </v:shape>
          <w:control r:id="rId12" w:name="DefaultOcxName1" w:shapeid="_x0000_i1033"/>
        </w:object>
      </w:r>
    </w:p>
    <w:p w:rsidR="009E1591" w:rsidRPr="009E1591" w:rsidRDefault="009E1591" w:rsidP="00B338DE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9E1591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13" w:tooltip="Объявления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Объявления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14" w:tooltip="Муниципальное образование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Муниципальное образование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15" w:tooltip="Нормативно-правовые акты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Нормативно-правовые акты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16" w:tooltip="Противодействие коррупции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Противодействие коррупции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17" w:tooltip="Муниципальная служба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Муниципальная служба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18" w:tooltip="Инициативное бюджетирование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Инициативное бюджетирование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19" w:tooltip="Экономика и финансы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Экономика и финансы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0" w:tooltip="Субъекты малого и среднего предпринимательства 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Субъекты малого и среднего предпринимательства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1" w:tooltip="Благоустройство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Благоустройство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2" w:tooltip="Градостроительство и землепользование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Градостроительство и землепользование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3" w:tooltip="Жилищно - коммунальное хозяйство" w:history="1">
        <w:proofErr w:type="spellStart"/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Жилищно</w:t>
        </w:r>
        <w:proofErr w:type="spellEnd"/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 xml:space="preserve"> - коммунальное хозяйство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4" w:tooltip="Безопасность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Безопасность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5" w:tooltip="Социальная политика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Социальная политика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6" w:tooltip="Регламенты. Положения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Регламенты. Положения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7" w:tooltip="Муниципальные услуги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Муниципальные услуги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8" w:tooltip="Муниципальный контроль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Муниципальный контроль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29" w:tooltip="Муниципальное имущество и земельные отношения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Муниципальное имущество и земельные отношения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30" w:tooltip="Выявление правообладателей ранее учтенных объектов недвижимости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Выявление правообладателей ранее учтенных объектов недвижимости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31" w:tooltip="Всероссийская перепись населения 2020 г.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Всероссийская перепись населения 2020 г.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32" w:tooltip="Охрана окружающей среды" w:history="1">
        <w:r w:rsidR="009E1591" w:rsidRPr="009E1591">
          <w:rPr>
            <w:rFonts w:ascii="Tahoma" w:eastAsia="Times New Roman" w:hAnsi="Tahoma" w:cs="Tahoma"/>
            <w:color w:val="FFFFFF"/>
            <w:sz w:val="23"/>
            <w:u w:val="single"/>
          </w:rPr>
          <w:t>Охрана окружающей среды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33" w:tooltip="Прокурор разъясняет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Прокурор разъясняет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34" w:tooltip="Публичные слушания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Публичные слушания</w:t>
        </w:r>
      </w:hyperlink>
    </w:p>
    <w:p w:rsidR="009E1591" w:rsidRPr="009E1591" w:rsidRDefault="00ED7616" w:rsidP="00B338DE">
      <w:pPr>
        <w:numPr>
          <w:ilvl w:val="0"/>
          <w:numId w:val="1"/>
        </w:numPr>
        <w:shd w:val="clear" w:color="auto" w:fill="FFFFFF"/>
        <w:spacing w:after="0" w:line="300" w:lineRule="atLeast"/>
        <w:ind w:left="-14061"/>
        <w:jc w:val="both"/>
        <w:rPr>
          <w:rFonts w:ascii="Tahoma" w:eastAsia="Times New Roman" w:hAnsi="Tahoma" w:cs="Tahoma"/>
          <w:color w:val="676767"/>
          <w:sz w:val="19"/>
          <w:szCs w:val="19"/>
        </w:rPr>
      </w:pPr>
      <w:hyperlink r:id="rId35" w:tooltip="Фотогалерея" w:history="1">
        <w:r w:rsidR="009E1591" w:rsidRPr="009E1591">
          <w:rPr>
            <w:rFonts w:ascii="Tahoma" w:eastAsia="Times New Roman" w:hAnsi="Tahoma" w:cs="Tahoma"/>
            <w:color w:val="333333"/>
            <w:sz w:val="23"/>
            <w:u w:val="single"/>
          </w:rPr>
          <w:t>Фотогалерея</w:t>
        </w:r>
      </w:hyperlink>
    </w:p>
    <w:p w:rsidR="009E1591" w:rsidRPr="009E1591" w:rsidRDefault="009E1591" w:rsidP="00B338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9A9A9A"/>
          <w:sz w:val="15"/>
          <w:szCs w:val="15"/>
        </w:rPr>
      </w:pPr>
      <w:r w:rsidRPr="009E1591">
        <w:rPr>
          <w:rFonts w:ascii="Tahoma" w:eastAsia="Times New Roman" w:hAnsi="Tahoma" w:cs="Tahoma"/>
          <w:color w:val="9A9A9A"/>
          <w:sz w:val="15"/>
          <w:szCs w:val="15"/>
        </w:rPr>
        <w:t>|</w:t>
      </w:r>
    </w:p>
    <w:p w:rsidR="009E1591" w:rsidRPr="009E1591" w:rsidRDefault="009E1591" w:rsidP="00B338DE">
      <w:pPr>
        <w:spacing w:after="72" w:line="240" w:lineRule="auto"/>
        <w:jc w:val="both"/>
        <w:rPr>
          <w:rFonts w:ascii="Tahoma" w:eastAsia="Times New Roman" w:hAnsi="Tahoma" w:cs="Tahoma"/>
          <w:color w:val="FFFFFF"/>
          <w:sz w:val="20"/>
          <w:szCs w:val="20"/>
        </w:rPr>
      </w:pPr>
      <w:r w:rsidRPr="009E1591">
        <w:rPr>
          <w:rFonts w:ascii="Tahoma" w:eastAsia="Times New Roman" w:hAnsi="Tahoma" w:cs="Tahoma"/>
          <w:color w:val="FFFFFF"/>
          <w:sz w:val="20"/>
          <w:szCs w:val="20"/>
        </w:rPr>
        <w:t xml:space="preserve">Для того, чтобы мы могли качественно предоставить Вам услуги, мы используем </w:t>
      </w:r>
      <w:proofErr w:type="spellStart"/>
      <w:r w:rsidRPr="009E1591">
        <w:rPr>
          <w:rFonts w:ascii="Tahoma" w:eastAsia="Times New Roman" w:hAnsi="Tahoma" w:cs="Tahoma"/>
          <w:color w:val="FFFFFF"/>
          <w:sz w:val="20"/>
          <w:szCs w:val="20"/>
        </w:rPr>
        <w:t>cookies</w:t>
      </w:r>
      <w:proofErr w:type="spellEnd"/>
      <w:r w:rsidRPr="009E1591">
        <w:rPr>
          <w:rFonts w:ascii="Tahoma" w:eastAsia="Times New Roman" w:hAnsi="Tahoma" w:cs="Tahoma"/>
          <w:color w:val="FFFFFF"/>
          <w:sz w:val="20"/>
          <w:szCs w:val="20"/>
        </w:rPr>
        <w:t>, которые сохраняются на Вашем компьютере. </w:t>
      </w:r>
    </w:p>
    <w:p w:rsidR="00184742" w:rsidRDefault="00184742" w:rsidP="00B338DE">
      <w:pPr>
        <w:jc w:val="both"/>
      </w:pPr>
    </w:p>
    <w:sectPr w:rsidR="00184742" w:rsidSect="0018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15F1F"/>
    <w:multiLevelType w:val="multilevel"/>
    <w:tmpl w:val="D46A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1591"/>
    <w:rsid w:val="00184742"/>
    <w:rsid w:val="001967BF"/>
    <w:rsid w:val="002806A7"/>
    <w:rsid w:val="005F54A3"/>
    <w:rsid w:val="00770EFF"/>
    <w:rsid w:val="008A7A4D"/>
    <w:rsid w:val="00967278"/>
    <w:rsid w:val="009C7C1B"/>
    <w:rsid w:val="009E1591"/>
    <w:rsid w:val="00A05725"/>
    <w:rsid w:val="00AF5501"/>
    <w:rsid w:val="00B338DE"/>
    <w:rsid w:val="00C57C1E"/>
    <w:rsid w:val="00CD7B4E"/>
    <w:rsid w:val="00DE298F"/>
    <w:rsid w:val="00EA0E71"/>
    <w:rsid w:val="00E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42"/>
  </w:style>
  <w:style w:type="paragraph" w:styleId="2">
    <w:name w:val="heading 2"/>
    <w:basedOn w:val="a"/>
    <w:link w:val="20"/>
    <w:uiPriority w:val="9"/>
    <w:qFormat/>
    <w:rsid w:val="009E15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15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E15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159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E159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E159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9E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1591"/>
    <w:rPr>
      <w:color w:val="0000FF"/>
      <w:u w:val="single"/>
    </w:rPr>
  </w:style>
  <w:style w:type="paragraph" w:customStyle="1" w:styleId="callout">
    <w:name w:val="callout"/>
    <w:basedOn w:val="a"/>
    <w:rsid w:val="009E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9E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E1591"/>
    <w:rPr>
      <w:b/>
      <w:bCs/>
    </w:rPr>
  </w:style>
  <w:style w:type="character" w:customStyle="1" w:styleId="coverfolder-title">
    <w:name w:val="coverfolder-title"/>
    <w:basedOn w:val="a0"/>
    <w:rsid w:val="009E15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15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E1591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15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E1591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9E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1591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E29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5780">
                  <w:marLeft w:val="-113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3268">
                      <w:marLeft w:val="341"/>
                      <w:marRight w:val="34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39471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7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4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26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8018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876018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5138">
                      <w:marLeft w:val="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  <w:div w:id="877284158">
                      <w:marLeft w:val="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01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38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0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70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57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5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8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6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90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5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7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72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8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18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1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7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634362">
                      <w:marLeft w:val="2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631885">
              <w:marLeft w:val="0"/>
              <w:marRight w:val="0"/>
              <w:marTop w:val="0"/>
              <w:marBottom w:val="240"/>
              <w:divBdr>
                <w:top w:val="single" w:sz="12" w:space="0" w:color="A6012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065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94818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841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1127">
                      <w:marLeft w:val="195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30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92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stud56.ru/ohrana-okruzhayuschei-sredy/dokumenty" TargetMode="External"/><Relationship Id="rId13" Type="http://schemas.openxmlformats.org/officeDocument/2006/relationships/hyperlink" Target="https://admstud56.ru/obyavleniya" TargetMode="External"/><Relationship Id="rId18" Type="http://schemas.openxmlformats.org/officeDocument/2006/relationships/hyperlink" Target="https://admstud56.ru/perechen-informacionnyh-sistem" TargetMode="External"/><Relationship Id="rId26" Type="http://schemas.openxmlformats.org/officeDocument/2006/relationships/hyperlink" Target="https://admstud56.ru/reglamenty-polozheniy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admstud56.ru/blagoustroistvo" TargetMode="External"/><Relationship Id="rId34" Type="http://schemas.openxmlformats.org/officeDocument/2006/relationships/hyperlink" Target="https://admstud56.ru/publichnye-slushaniya-1" TargetMode="Externa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hyperlink" Target="https://admstud56.ru/municipalnaya-sluzhba" TargetMode="External"/><Relationship Id="rId25" Type="http://schemas.openxmlformats.org/officeDocument/2006/relationships/hyperlink" Target="https://admstud56.ru/socialnaya-politika" TargetMode="External"/><Relationship Id="rId33" Type="http://schemas.openxmlformats.org/officeDocument/2006/relationships/hyperlink" Target="https://admstud56.ru/prokuror-razyasnyaet" TargetMode="External"/><Relationship Id="rId2" Type="http://schemas.openxmlformats.org/officeDocument/2006/relationships/styles" Target="styles.xml"/><Relationship Id="rId16" Type="http://schemas.openxmlformats.org/officeDocument/2006/relationships/hyperlink" Target="https://admstud56.ru/protivodeistvie-korrupcii" TargetMode="External"/><Relationship Id="rId20" Type="http://schemas.openxmlformats.org/officeDocument/2006/relationships/hyperlink" Target="https://admstud56.ru/ekonomika" TargetMode="External"/><Relationship Id="rId29" Type="http://schemas.openxmlformats.org/officeDocument/2006/relationships/hyperlink" Target="https://admstud56.ru/municipalnoe-imuschestvo-i-zemelnye-otnosheniy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dmstud56.ru/ohrana-okruzhayuschei-sredy/dokumenty" TargetMode="External"/><Relationship Id="rId11" Type="http://schemas.openxmlformats.org/officeDocument/2006/relationships/image" Target="media/image3.wmf"/><Relationship Id="rId24" Type="http://schemas.openxmlformats.org/officeDocument/2006/relationships/hyperlink" Target="https://admstud56.ru/bezopasnost" TargetMode="External"/><Relationship Id="rId32" Type="http://schemas.openxmlformats.org/officeDocument/2006/relationships/hyperlink" Target="https://admstud56.ru/ohrana-okruzhayuschei-sredy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admstud56.ru/normativno-pravovye-akty" TargetMode="External"/><Relationship Id="rId23" Type="http://schemas.openxmlformats.org/officeDocument/2006/relationships/hyperlink" Target="https://admstud56.ru/zhilischno-kommunalnoe-hozyaistvo" TargetMode="External"/><Relationship Id="rId28" Type="http://schemas.openxmlformats.org/officeDocument/2006/relationships/hyperlink" Target="https://admstud56.ru/municipalnye-zakupki" TargetMode="Externa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hyperlink" Target="https://admstud56.ru/finansy" TargetMode="External"/><Relationship Id="rId31" Type="http://schemas.openxmlformats.org/officeDocument/2006/relationships/hyperlink" Target="https://admstud56.ru/vserossiiskaya-perepis-naseleniya-2020-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admstud56.ru/novosti" TargetMode="External"/><Relationship Id="rId22" Type="http://schemas.openxmlformats.org/officeDocument/2006/relationships/hyperlink" Target="https://admstud56.ru/gradostroitelstvo-i-zemlepolzovanie" TargetMode="External"/><Relationship Id="rId27" Type="http://schemas.openxmlformats.org/officeDocument/2006/relationships/hyperlink" Target="https://admstud56.ru/municipalnye-uslugi" TargetMode="External"/><Relationship Id="rId30" Type="http://schemas.openxmlformats.org/officeDocument/2006/relationships/hyperlink" Target="https://admstud56.ru/vyyavlenie-pravoobladatelei-ranee-uchtennyh-obektov-nedvizhimosti" TargetMode="External"/><Relationship Id="rId35" Type="http://schemas.openxmlformats.org/officeDocument/2006/relationships/hyperlink" Target="https://admstud56.ru/fotogalereya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Алексеевка</cp:lastModifiedBy>
  <cp:revision>9</cp:revision>
  <dcterms:created xsi:type="dcterms:W3CDTF">2022-07-14T10:33:00Z</dcterms:created>
  <dcterms:modified xsi:type="dcterms:W3CDTF">2022-08-08T13:18:00Z</dcterms:modified>
</cp:coreProperties>
</file>